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37DD" w14:textId="77777777" w:rsidR="004A4FCE" w:rsidRDefault="00E47221">
      <w:pPr>
        <w:spacing w:after="0"/>
        <w:jc w:val="center"/>
        <w:rPr>
          <w:b/>
          <w:sz w:val="22"/>
          <w:szCs w:val="22"/>
        </w:rPr>
      </w:pPr>
      <w:r w:rsidRPr="3D06FCFA">
        <w:rPr>
          <w:b/>
          <w:bCs/>
          <w:sz w:val="22"/>
          <w:szCs w:val="22"/>
        </w:rPr>
        <w:t>BOARD OF DIRECTORS/TRUSTEES</w:t>
      </w:r>
    </w:p>
    <w:p w14:paraId="6FDFE7E7" w14:textId="601D2396" w:rsidR="3D06FCFA" w:rsidRDefault="3D06FCFA" w:rsidP="3D06FCFA">
      <w:pPr>
        <w:pStyle w:val="CenteredB"/>
        <w:rPr>
          <w:smallCaps/>
          <w:sz w:val="22"/>
          <w:szCs w:val="22"/>
        </w:rPr>
      </w:pPr>
    </w:p>
    <w:p w14:paraId="4135C439" w14:textId="77777777" w:rsidR="004A4FCE" w:rsidRDefault="00E47221">
      <w:pPr>
        <w:pStyle w:val="CenteredB"/>
        <w:rPr>
          <w:b w:val="0"/>
          <w:bCs/>
          <w:sz w:val="22"/>
          <w:szCs w:val="22"/>
        </w:rPr>
      </w:pPr>
      <w:r>
        <w:rPr>
          <w:smallCaps/>
          <w:sz w:val="22"/>
          <w:szCs w:val="22"/>
        </w:rPr>
        <w:t>COMPENSATION COMMITTEE CHARTER</w:t>
      </w:r>
    </w:p>
    <w:p w14:paraId="46B5A5E2" w14:textId="77777777" w:rsidR="004A4FCE" w:rsidRDefault="00E47221">
      <w:pPr>
        <w:pStyle w:val="TitleL"/>
        <w:keepNext/>
        <w:rPr>
          <w:sz w:val="22"/>
          <w:szCs w:val="22"/>
        </w:rPr>
      </w:pPr>
      <w:r>
        <w:rPr>
          <w:sz w:val="22"/>
          <w:szCs w:val="22"/>
        </w:rPr>
        <w:t>Organization</w:t>
      </w:r>
    </w:p>
    <w:p w14:paraId="41A9AD83" w14:textId="77777777" w:rsidR="004A4FCE" w:rsidRDefault="00E47221">
      <w:pPr>
        <w:pStyle w:val="BlockTextSglJ"/>
        <w:rPr>
          <w:sz w:val="22"/>
          <w:szCs w:val="22"/>
        </w:rPr>
      </w:pPr>
      <w:r>
        <w:rPr>
          <w:sz w:val="22"/>
          <w:szCs w:val="22"/>
        </w:rPr>
        <w:t>The Compensation Committee (the “Committee”) of each registered investment company listed on Appendix A hereto (each, a “Fund” and together, the “Funds”) shall be composed solely of Directors/Trustees (“Directors”) who are not “interested persons” of the Fund as defined in Section 2(a)(19) of the Investment Company Act of 1940, as amended (the “1940 Act”) and, with respect to those Funds listed on the New York Stock Exchange, Inc. (“NYSE”), who are “independent” as defined in the NYSE listing standards (“Independent Directors”).  The Board of Directors of the Fund (the “Board”) shall appoint the members of the Committee and shall designate the Chairperson of the Committee.  The Chairperson shall preside at each meeting of the Committee.</w:t>
      </w:r>
    </w:p>
    <w:p w14:paraId="25724F56" w14:textId="77777777" w:rsidR="004A4FCE" w:rsidRDefault="00E47221">
      <w:pPr>
        <w:pStyle w:val="TitleL"/>
        <w:keepNext/>
        <w:rPr>
          <w:sz w:val="22"/>
          <w:szCs w:val="22"/>
        </w:rPr>
      </w:pPr>
      <w:r>
        <w:rPr>
          <w:sz w:val="22"/>
          <w:szCs w:val="22"/>
        </w:rPr>
        <w:t>Responsibilities</w:t>
      </w:r>
    </w:p>
    <w:p w14:paraId="2D5A5A6E" w14:textId="77777777" w:rsidR="004A4FCE" w:rsidRDefault="00E47221">
      <w:pPr>
        <w:pStyle w:val="BlockTextSglJ"/>
        <w:rPr>
          <w:sz w:val="22"/>
          <w:szCs w:val="22"/>
        </w:rPr>
      </w:pPr>
      <w:r>
        <w:rPr>
          <w:sz w:val="22"/>
          <w:szCs w:val="22"/>
        </w:rPr>
        <w:t>The Committee shall evaluate periodically, but not less than annually, Independent Director compensation and shall recommend any changes that are appropriate, in the Committee’s judgment, to the Independent Directors as a group and to the Board.  Compensation of the Independent Directors shall include such components as the Committee, in its judgment, shall regard as appropriate, including, but not limited to:</w:t>
      </w:r>
    </w:p>
    <w:p w14:paraId="7E4BECAC" w14:textId="77777777" w:rsidR="004A4FCE" w:rsidRDefault="00E47221">
      <w:pPr>
        <w:pStyle w:val="ListBullet2"/>
        <w:rPr>
          <w:sz w:val="22"/>
          <w:szCs w:val="22"/>
        </w:rPr>
      </w:pPr>
      <w:r>
        <w:rPr>
          <w:sz w:val="22"/>
          <w:szCs w:val="22"/>
        </w:rPr>
        <w:t>annual Board membership retainers;</w:t>
      </w:r>
    </w:p>
    <w:p w14:paraId="41C383F6" w14:textId="77777777" w:rsidR="004A4FCE" w:rsidRDefault="00E47221">
      <w:pPr>
        <w:pStyle w:val="ListBullet2"/>
        <w:rPr>
          <w:sz w:val="22"/>
          <w:szCs w:val="22"/>
        </w:rPr>
      </w:pPr>
      <w:r>
        <w:rPr>
          <w:sz w:val="22"/>
          <w:szCs w:val="22"/>
        </w:rPr>
        <w:t>compensation for any Independent Director who may be designated from time to time by the Board as the Chairperson or Lead Independent Director;</w:t>
      </w:r>
    </w:p>
    <w:p w14:paraId="04AA496A" w14:textId="77777777" w:rsidR="004A4FCE" w:rsidRDefault="00E47221">
      <w:pPr>
        <w:pStyle w:val="ListBullet2"/>
      </w:pPr>
      <w:r>
        <w:t>attendance fees for in-person and conference call meetings of the Board and its committees;</w:t>
      </w:r>
    </w:p>
    <w:p w14:paraId="13CF2135" w14:textId="77777777" w:rsidR="004A4FCE" w:rsidRDefault="00E47221">
      <w:pPr>
        <w:pStyle w:val="ListBullet2"/>
        <w:rPr>
          <w:sz w:val="22"/>
          <w:szCs w:val="22"/>
        </w:rPr>
      </w:pPr>
      <w:r>
        <w:rPr>
          <w:sz w:val="22"/>
          <w:szCs w:val="22"/>
        </w:rPr>
        <w:t>compensation for the chairpersons of the committees of the Board;</w:t>
      </w:r>
    </w:p>
    <w:p w14:paraId="0C399C7D" w14:textId="77777777" w:rsidR="004A4FCE" w:rsidRDefault="00E47221">
      <w:pPr>
        <w:pStyle w:val="ListBullet2"/>
        <w:rPr>
          <w:sz w:val="22"/>
          <w:szCs w:val="22"/>
        </w:rPr>
      </w:pPr>
      <w:r>
        <w:rPr>
          <w:sz w:val="22"/>
          <w:szCs w:val="22"/>
        </w:rPr>
        <w:t>compensation for any Independent Directors whom the Board may designate from time to time as “Board Liaisons”; and</w:t>
      </w:r>
    </w:p>
    <w:p w14:paraId="19351DA9" w14:textId="77777777" w:rsidR="004A4FCE" w:rsidRDefault="00E47221">
      <w:pPr>
        <w:pStyle w:val="ListBullet2"/>
        <w:rPr>
          <w:sz w:val="22"/>
          <w:szCs w:val="22"/>
        </w:rPr>
      </w:pPr>
      <w:r>
        <w:rPr>
          <w:sz w:val="22"/>
          <w:szCs w:val="22"/>
        </w:rPr>
        <w:t>compensation for extraordinary or special requirements or assignments applicable to, or assumed or undertaken by, any one or more Independent Directors, including demands imposed by participation in any regulatory or judicial investigations, inquiries, or proceedings.</w:t>
      </w:r>
    </w:p>
    <w:p w14:paraId="25BFA35B" w14:textId="77777777" w:rsidR="004A4FCE" w:rsidRDefault="00E47221">
      <w:pPr>
        <w:pStyle w:val="BlockTextSglJ"/>
        <w:rPr>
          <w:sz w:val="22"/>
          <w:szCs w:val="22"/>
        </w:rPr>
      </w:pPr>
      <w:r>
        <w:rPr>
          <w:sz w:val="22"/>
          <w:szCs w:val="22"/>
        </w:rPr>
        <w:t>In its evaluation, the Committee may take into consideration such factors as it deems relevant in its judgment, which may include, without limitation:</w:t>
      </w:r>
    </w:p>
    <w:p w14:paraId="43EA8E0F" w14:textId="77777777" w:rsidR="004A4FCE" w:rsidRDefault="00E47221">
      <w:pPr>
        <w:pStyle w:val="ListBullet2"/>
        <w:numPr>
          <w:ilvl w:val="0"/>
          <w:numId w:val="11"/>
        </w:numPr>
        <w:rPr>
          <w:sz w:val="22"/>
          <w:szCs w:val="22"/>
        </w:rPr>
      </w:pPr>
      <w:r>
        <w:rPr>
          <w:sz w:val="22"/>
          <w:szCs w:val="22"/>
        </w:rPr>
        <w:t>the number of Funds;</w:t>
      </w:r>
    </w:p>
    <w:p w14:paraId="1858B18A" w14:textId="77777777" w:rsidR="004A4FCE" w:rsidRDefault="00E47221">
      <w:pPr>
        <w:pStyle w:val="ListBullet2"/>
        <w:numPr>
          <w:ilvl w:val="0"/>
          <w:numId w:val="11"/>
        </w:numPr>
        <w:rPr>
          <w:sz w:val="22"/>
          <w:szCs w:val="22"/>
        </w:rPr>
      </w:pPr>
      <w:r>
        <w:rPr>
          <w:sz w:val="22"/>
          <w:szCs w:val="22"/>
        </w:rPr>
        <w:t>total Fund assets;</w:t>
      </w:r>
    </w:p>
    <w:p w14:paraId="1D9FB7AD" w14:textId="77777777" w:rsidR="004A4FCE" w:rsidRDefault="00E47221">
      <w:pPr>
        <w:pStyle w:val="ListBullet2"/>
        <w:numPr>
          <w:ilvl w:val="0"/>
          <w:numId w:val="11"/>
        </w:numPr>
        <w:rPr>
          <w:sz w:val="22"/>
          <w:szCs w:val="22"/>
        </w:rPr>
      </w:pPr>
      <w:r>
        <w:rPr>
          <w:sz w:val="22"/>
          <w:szCs w:val="22"/>
        </w:rPr>
        <w:t>the structures of the Funds;</w:t>
      </w:r>
    </w:p>
    <w:p w14:paraId="135638B3" w14:textId="77777777" w:rsidR="004A4FCE" w:rsidRDefault="00E47221">
      <w:pPr>
        <w:pStyle w:val="ListBullet2"/>
        <w:numPr>
          <w:ilvl w:val="0"/>
          <w:numId w:val="11"/>
        </w:numPr>
        <w:rPr>
          <w:sz w:val="22"/>
          <w:szCs w:val="22"/>
        </w:rPr>
      </w:pPr>
      <w:r>
        <w:rPr>
          <w:sz w:val="22"/>
          <w:szCs w:val="22"/>
        </w:rPr>
        <w:t>the complexity of the Funds’ investment programs, including the Funds’ use of derivatives strategies and leverage;</w:t>
      </w:r>
    </w:p>
    <w:p w14:paraId="6DC9DE20" w14:textId="77777777" w:rsidR="004A4FCE" w:rsidRDefault="00E47221">
      <w:pPr>
        <w:pStyle w:val="ListBullet2"/>
        <w:numPr>
          <w:ilvl w:val="0"/>
          <w:numId w:val="11"/>
        </w:numPr>
        <w:rPr>
          <w:sz w:val="22"/>
          <w:szCs w:val="22"/>
        </w:rPr>
      </w:pPr>
      <w:r>
        <w:rPr>
          <w:sz w:val="22"/>
          <w:szCs w:val="22"/>
        </w:rPr>
        <w:lastRenderedPageBreak/>
        <w:t>information regarding mutual fund industry director compensation practices and trends;</w:t>
      </w:r>
    </w:p>
    <w:p w14:paraId="745B6D2E" w14:textId="77777777" w:rsidR="004A4FCE" w:rsidRDefault="00E47221">
      <w:pPr>
        <w:pStyle w:val="ListBullet2"/>
        <w:numPr>
          <w:ilvl w:val="0"/>
          <w:numId w:val="11"/>
        </w:numPr>
        <w:rPr>
          <w:sz w:val="22"/>
          <w:szCs w:val="22"/>
        </w:rPr>
      </w:pPr>
      <w:r>
        <w:rPr>
          <w:sz w:val="22"/>
          <w:szCs w:val="22"/>
        </w:rPr>
        <w:t>facts and circumstances of any one or more of the Funds placing special responsibilities or burdens of a permanent or temporary nature upon the Board or any one or more of the Independent Directors; and</w:t>
      </w:r>
    </w:p>
    <w:p w14:paraId="72786BC7" w14:textId="77777777" w:rsidR="004A4FCE" w:rsidRDefault="00E47221">
      <w:pPr>
        <w:pStyle w:val="ListBullet2"/>
        <w:numPr>
          <w:ilvl w:val="0"/>
          <w:numId w:val="11"/>
        </w:numPr>
        <w:rPr>
          <w:sz w:val="22"/>
          <w:szCs w:val="22"/>
        </w:rPr>
      </w:pPr>
      <w:r>
        <w:rPr>
          <w:sz w:val="22"/>
          <w:szCs w:val="22"/>
        </w:rPr>
        <w:t>legal and regulatory standards or requirements applicable to the Independent Directors or the Board under state or federal laws, rules, or regulations, as well as the regulations of the NYSE.</w:t>
      </w:r>
    </w:p>
    <w:p w14:paraId="10CBAB0E" w14:textId="77777777" w:rsidR="004A4FCE" w:rsidRDefault="00E47221">
      <w:pPr>
        <w:pStyle w:val="TitleL"/>
        <w:keepNext/>
        <w:rPr>
          <w:sz w:val="22"/>
          <w:szCs w:val="22"/>
        </w:rPr>
      </w:pPr>
      <w:r>
        <w:rPr>
          <w:sz w:val="22"/>
          <w:szCs w:val="22"/>
        </w:rPr>
        <w:t>Other Powers and Responsibilities</w:t>
      </w:r>
    </w:p>
    <w:p w14:paraId="706DF201" w14:textId="77777777" w:rsidR="004A4FCE" w:rsidRDefault="00E47221">
      <w:pPr>
        <w:pStyle w:val="ListBullet"/>
        <w:tabs>
          <w:tab w:val="clear" w:pos="360"/>
        </w:tabs>
        <w:ind w:left="720"/>
        <w:rPr>
          <w:sz w:val="22"/>
          <w:szCs w:val="22"/>
        </w:rPr>
      </w:pPr>
      <w:r>
        <w:rPr>
          <w:sz w:val="22"/>
          <w:szCs w:val="22"/>
        </w:rPr>
        <w:t>The Committee shall have such additional powers and responsibilities in addition to those set forth in this Charter as may be delegated from time to time by the Board.</w:t>
      </w:r>
    </w:p>
    <w:p w14:paraId="44E9F9DD" w14:textId="77777777" w:rsidR="004A4FCE" w:rsidRDefault="00E47221">
      <w:pPr>
        <w:pStyle w:val="ListBullet"/>
        <w:tabs>
          <w:tab w:val="clear" w:pos="360"/>
        </w:tabs>
        <w:ind w:left="720"/>
        <w:rPr>
          <w:sz w:val="22"/>
          <w:szCs w:val="22"/>
        </w:rPr>
      </w:pPr>
      <w:r>
        <w:rPr>
          <w:sz w:val="22"/>
          <w:szCs w:val="22"/>
        </w:rPr>
        <w:t>The Committee shall have the resources and authority appropriate to discharge its responsibilities, including authority to retain special counsel and other experts or consultants at the expense of the Funds.</w:t>
      </w:r>
    </w:p>
    <w:p w14:paraId="5F236388" w14:textId="77777777" w:rsidR="004A4FCE" w:rsidRDefault="00E47221">
      <w:pPr>
        <w:pStyle w:val="ListBullet"/>
        <w:tabs>
          <w:tab w:val="clear" w:pos="360"/>
        </w:tabs>
        <w:ind w:left="720"/>
        <w:rPr>
          <w:sz w:val="22"/>
          <w:szCs w:val="22"/>
        </w:rPr>
      </w:pPr>
      <w:r>
        <w:rPr>
          <w:sz w:val="22"/>
          <w:szCs w:val="22"/>
        </w:rPr>
        <w:t>The Committee may request, and management shall provide, such information and analyses and access to Fund officers, agents, representatives, and service providers as shall be reasonably necessary for the Committee to carry out its responsibilities.</w:t>
      </w:r>
    </w:p>
    <w:p w14:paraId="6BAE46D9" w14:textId="77777777" w:rsidR="004A4FCE" w:rsidRDefault="00E47221">
      <w:pPr>
        <w:pStyle w:val="ListBullet"/>
        <w:tabs>
          <w:tab w:val="clear" w:pos="360"/>
        </w:tabs>
        <w:ind w:left="720"/>
        <w:rPr>
          <w:sz w:val="22"/>
          <w:szCs w:val="22"/>
        </w:rPr>
      </w:pPr>
      <w:r>
        <w:rPr>
          <w:sz w:val="22"/>
          <w:szCs w:val="22"/>
        </w:rPr>
        <w:t>The authority, powers, and rights of the Committee as described in this Charter are not intended, and shall not operate, to reduce, restrict, limit or otherwise modify in any manner whatsoever the authority, powers, and rights which are granted to the Board and Committees thereof, including the Committee, under the Declaration of Trust, Charter, Bylaws, or other organizational documents of any Fund.  In the event of any inconsistency between this Charter and any such organizational documents, the provisions of the latter shall be given precedence.</w:t>
      </w:r>
    </w:p>
    <w:p w14:paraId="17E0E8FF" w14:textId="77777777" w:rsidR="004A4FCE" w:rsidRDefault="00E47221">
      <w:pPr>
        <w:pStyle w:val="TitleL"/>
        <w:keepNext/>
        <w:rPr>
          <w:sz w:val="22"/>
          <w:szCs w:val="22"/>
        </w:rPr>
      </w:pPr>
      <w:r>
        <w:rPr>
          <w:sz w:val="22"/>
          <w:szCs w:val="22"/>
        </w:rPr>
        <w:t>Quorum</w:t>
      </w:r>
    </w:p>
    <w:p w14:paraId="2A574359" w14:textId="77777777" w:rsidR="004A4FCE" w:rsidRDefault="00E47221">
      <w:pPr>
        <w:pStyle w:val="BlockTextSglJ"/>
        <w:rPr>
          <w:sz w:val="22"/>
          <w:szCs w:val="22"/>
        </w:rPr>
      </w:pPr>
      <w:r>
        <w:rPr>
          <w:sz w:val="22"/>
          <w:szCs w:val="22"/>
        </w:rPr>
        <w:t xml:space="preserve">A majority of the members of the Committee shall constitute a quorum for the transaction of business, and the act of a majority of the members of the Committee present at any meeting at which there is a quorum shall be the act of the Committee. </w:t>
      </w:r>
      <w:r>
        <w:rPr>
          <w:b/>
          <w:i/>
          <w:sz w:val="22"/>
          <w:szCs w:val="22"/>
        </w:rPr>
        <w:t xml:space="preserve"> </w:t>
      </w:r>
    </w:p>
    <w:p w14:paraId="70BF7676" w14:textId="77777777" w:rsidR="004A4FCE" w:rsidRDefault="00E47221">
      <w:pPr>
        <w:pStyle w:val="ListBullet"/>
        <w:numPr>
          <w:ilvl w:val="0"/>
          <w:numId w:val="0"/>
        </w:numPr>
        <w:rPr>
          <w:b/>
          <w:smallCaps/>
          <w:sz w:val="22"/>
          <w:szCs w:val="22"/>
        </w:rPr>
      </w:pPr>
      <w:r>
        <w:rPr>
          <w:b/>
          <w:smallCaps/>
          <w:sz w:val="22"/>
          <w:szCs w:val="22"/>
        </w:rPr>
        <w:t>Meetings</w:t>
      </w:r>
    </w:p>
    <w:p w14:paraId="7C30717E" w14:textId="77777777" w:rsidR="004A4FCE" w:rsidRDefault="00E47221">
      <w:pPr>
        <w:pStyle w:val="BlockTextSglJ"/>
        <w:rPr>
          <w:sz w:val="22"/>
          <w:szCs w:val="22"/>
        </w:rPr>
      </w:pPr>
      <w:r>
        <w:rPr>
          <w:sz w:val="22"/>
          <w:szCs w:val="22"/>
        </w:rPr>
        <w:t xml:space="preserve">The Committee may meet with such frequency and at such times as it shall deem appropriate, in its judgment, for carrying out its responsibilities.  The Committee may meet on its own or in conjunction with meetings of the Board.  Meetings of the Committee may be held in person, by video conference, or by conference telephone.  The Committee may take action by unanimous consent in lieu of a meeting.  </w:t>
      </w:r>
    </w:p>
    <w:p w14:paraId="697EECE0" w14:textId="77777777" w:rsidR="004A4FCE" w:rsidRDefault="00E47221">
      <w:pPr>
        <w:pStyle w:val="ListBullet"/>
        <w:numPr>
          <w:ilvl w:val="0"/>
          <w:numId w:val="0"/>
        </w:numPr>
        <w:rPr>
          <w:b/>
          <w:smallCaps/>
          <w:sz w:val="22"/>
          <w:szCs w:val="22"/>
        </w:rPr>
      </w:pPr>
      <w:r>
        <w:rPr>
          <w:b/>
          <w:smallCaps/>
          <w:sz w:val="22"/>
          <w:szCs w:val="22"/>
        </w:rPr>
        <w:t>Reporting</w:t>
      </w:r>
    </w:p>
    <w:p w14:paraId="45524230" w14:textId="77777777" w:rsidR="004A4FCE" w:rsidRDefault="00E47221">
      <w:pPr>
        <w:pStyle w:val="BlockTextSglJ"/>
        <w:rPr>
          <w:sz w:val="22"/>
          <w:szCs w:val="22"/>
        </w:rPr>
      </w:pPr>
      <w:r>
        <w:rPr>
          <w:sz w:val="22"/>
          <w:szCs w:val="22"/>
        </w:rPr>
        <w:t>The Committee shall report to and consult with the Board with such frequency and at such times as it shall deem appropriate, as well as to Fund counsel and counsel to the Independent Directors.</w:t>
      </w:r>
    </w:p>
    <w:p w14:paraId="7FC20C17" w14:textId="77777777" w:rsidR="004A4FCE" w:rsidRDefault="004A4FCE">
      <w:pPr>
        <w:spacing w:after="0"/>
        <w:rPr>
          <w:sz w:val="22"/>
          <w:szCs w:val="22"/>
        </w:rPr>
      </w:pPr>
    </w:p>
    <w:p w14:paraId="5256DAB2" w14:textId="77777777" w:rsidR="004A4FCE" w:rsidRDefault="00E47221">
      <w:pPr>
        <w:rPr>
          <w:sz w:val="22"/>
          <w:szCs w:val="22"/>
        </w:rPr>
      </w:pPr>
      <w:r>
        <w:rPr>
          <w:sz w:val="22"/>
          <w:szCs w:val="22"/>
        </w:rPr>
        <w:t>Adopted:  August 11, 2016</w:t>
      </w:r>
    </w:p>
    <w:p w14:paraId="6910C0BE" w14:textId="77777777" w:rsidR="004A4FCE" w:rsidRDefault="00E47221">
      <w:pPr>
        <w:pStyle w:val="BlockTextSglJ"/>
        <w:jc w:val="left"/>
        <w:rPr>
          <w:sz w:val="22"/>
          <w:szCs w:val="22"/>
        </w:rPr>
        <w:sectPr w:rsidR="004A4FCE">
          <w:headerReference w:type="default" r:id="rId10"/>
          <w:footerReference w:type="even" r:id="rId11"/>
          <w:footerReference w:type="default" r:id="rId12"/>
          <w:footerReference w:type="first" r:id="rId13"/>
          <w:pgSz w:w="12240" w:h="15840" w:code="1"/>
          <w:pgMar w:top="1440" w:right="1440" w:bottom="1440" w:left="1440" w:header="720" w:footer="222" w:gutter="0"/>
          <w:cols w:space="720"/>
          <w:titlePg/>
          <w:docGrid w:linePitch="360"/>
        </w:sectPr>
      </w:pPr>
      <w:r>
        <w:rPr>
          <w:sz w:val="22"/>
          <w:szCs w:val="22"/>
        </w:rPr>
        <w:br w:type="page"/>
      </w:r>
    </w:p>
    <w:p w14:paraId="364EA89F" w14:textId="77777777" w:rsidR="00432A81" w:rsidRPr="00432A81" w:rsidRDefault="00432A81" w:rsidP="00432A81">
      <w:pPr>
        <w:spacing w:after="0"/>
        <w:ind w:firstLine="720"/>
        <w:jc w:val="right"/>
        <w:rPr>
          <w:sz w:val="22"/>
          <w:szCs w:val="22"/>
          <w:u w:val="single"/>
        </w:rPr>
      </w:pPr>
      <w:r w:rsidRPr="00432A81">
        <w:rPr>
          <w:sz w:val="22"/>
          <w:szCs w:val="22"/>
          <w:u w:val="single"/>
        </w:rPr>
        <w:lastRenderedPageBreak/>
        <w:t>Appendix A</w:t>
      </w:r>
    </w:p>
    <w:p w14:paraId="02A7BE4C" w14:textId="5C54B20D" w:rsidR="00432A81" w:rsidRPr="00432A81" w:rsidRDefault="00432A81" w:rsidP="00432A81">
      <w:pPr>
        <w:spacing w:after="0"/>
        <w:ind w:firstLine="720"/>
        <w:jc w:val="right"/>
        <w:rPr>
          <w:sz w:val="22"/>
          <w:szCs w:val="22"/>
          <w:u w:val="single"/>
        </w:rPr>
      </w:pPr>
      <w:r w:rsidRPr="00432A81">
        <w:rPr>
          <w:rFonts w:ascii="Georgia" w:hAnsi="Georgia"/>
          <w:i/>
          <w:iCs/>
        </w:rPr>
        <w:t xml:space="preserve">amended as of February </w:t>
      </w:r>
      <w:r w:rsidR="00CE3CA3">
        <w:rPr>
          <w:rFonts w:ascii="Georgia" w:hAnsi="Georgia"/>
          <w:i/>
          <w:iCs/>
        </w:rPr>
        <w:t>1</w:t>
      </w:r>
      <w:r w:rsidR="00651568">
        <w:rPr>
          <w:rFonts w:ascii="Georgia" w:hAnsi="Georgia"/>
          <w:i/>
          <w:iCs/>
        </w:rPr>
        <w:t>0</w:t>
      </w:r>
      <w:r w:rsidRPr="00432A81">
        <w:rPr>
          <w:rFonts w:ascii="Georgia" w:hAnsi="Georgia"/>
          <w:i/>
          <w:iCs/>
        </w:rPr>
        <w:t>, 202</w:t>
      </w:r>
      <w:r w:rsidR="00651568">
        <w:rPr>
          <w:rFonts w:ascii="Georgia" w:hAnsi="Georgia"/>
          <w:i/>
          <w:iCs/>
        </w:rPr>
        <w:t>6</w:t>
      </w:r>
    </w:p>
    <w:p w14:paraId="783C179D" w14:textId="77777777" w:rsidR="00432A81" w:rsidRPr="00432A81" w:rsidRDefault="00432A81" w:rsidP="00432A81">
      <w:pPr>
        <w:spacing w:after="0"/>
        <w:jc w:val="left"/>
        <w:rPr>
          <w:u w:val="single"/>
        </w:rPr>
      </w:pPr>
    </w:p>
    <w:p w14:paraId="4020BCAC" w14:textId="77777777" w:rsidR="00651568" w:rsidRPr="00651568" w:rsidRDefault="00651568" w:rsidP="00651568">
      <w:pPr>
        <w:spacing w:after="0"/>
        <w:jc w:val="left"/>
      </w:pPr>
      <w:proofErr w:type="spellStart"/>
      <w:r w:rsidRPr="00651568">
        <w:t>BrandywineGLOBAL</w:t>
      </w:r>
      <w:proofErr w:type="spellEnd"/>
      <w:r w:rsidRPr="00651568">
        <w:t xml:space="preserve"> – Global Income Opportunities Fund (“BWG”) </w:t>
      </w:r>
    </w:p>
    <w:p w14:paraId="42F2F1CB" w14:textId="77777777" w:rsidR="00651568" w:rsidRPr="00651568" w:rsidRDefault="00651568" w:rsidP="00651568">
      <w:pPr>
        <w:spacing w:after="0"/>
        <w:jc w:val="left"/>
      </w:pPr>
      <w:r w:rsidRPr="00651568">
        <w:t>Clarion Partners Real Estate Income Fund Inc. (“CPREX”)</w:t>
      </w:r>
    </w:p>
    <w:p w14:paraId="7D32D461" w14:textId="77777777" w:rsidR="00651568" w:rsidRPr="00651568" w:rsidRDefault="00651568" w:rsidP="00651568">
      <w:pPr>
        <w:spacing w:after="0"/>
        <w:jc w:val="left"/>
      </w:pPr>
      <w:r w:rsidRPr="00651568">
        <w:t>ClearBridge Energy Midstream Opportunity Fund Inc. (“EMO”)</w:t>
      </w:r>
    </w:p>
    <w:p w14:paraId="220A9310" w14:textId="77777777" w:rsidR="00651568" w:rsidRPr="00651568" w:rsidRDefault="00651568" w:rsidP="00651568">
      <w:pPr>
        <w:tabs>
          <w:tab w:val="left" w:pos="1185"/>
        </w:tabs>
        <w:spacing w:after="0"/>
        <w:jc w:val="left"/>
      </w:pPr>
      <w:r w:rsidRPr="00651568">
        <w:t>Franklin Lexington Private Markets Fund (“FLEX”)</w:t>
      </w:r>
      <w:r w:rsidRPr="00651568">
        <w:tab/>
      </w:r>
    </w:p>
    <w:p w14:paraId="0AB8902D" w14:textId="77777777" w:rsidR="00651568" w:rsidRPr="00651568" w:rsidRDefault="00651568" w:rsidP="00651568">
      <w:pPr>
        <w:tabs>
          <w:tab w:val="left" w:pos="1185"/>
        </w:tabs>
        <w:spacing w:after="0"/>
        <w:jc w:val="left"/>
      </w:pPr>
      <w:r w:rsidRPr="00651568">
        <w:t>Franklin BSP Lending Fund (“FBLEND”)</w:t>
      </w:r>
    </w:p>
    <w:p w14:paraId="657FCD23" w14:textId="77777777" w:rsidR="00651568" w:rsidRPr="00651568" w:rsidRDefault="00651568" w:rsidP="00651568">
      <w:pPr>
        <w:spacing w:after="0"/>
        <w:jc w:val="left"/>
      </w:pPr>
      <w:r w:rsidRPr="00651568">
        <w:t>LMP Capital and Income Fund Inc. (“SCD”)</w:t>
      </w:r>
    </w:p>
    <w:p w14:paraId="72ED99CB" w14:textId="77777777" w:rsidR="00651568" w:rsidRPr="00651568" w:rsidRDefault="00651568" w:rsidP="00651568">
      <w:pPr>
        <w:spacing w:after="0"/>
        <w:jc w:val="left"/>
        <w:rPr>
          <w:bCs/>
        </w:rPr>
      </w:pPr>
      <w:r w:rsidRPr="00651568">
        <w:rPr>
          <w:bCs/>
        </w:rPr>
        <w:t xml:space="preserve">Putnam Managed Municipal Income Trust (“PMM”) </w:t>
      </w:r>
    </w:p>
    <w:p w14:paraId="2031F809" w14:textId="77777777" w:rsidR="00651568" w:rsidRPr="00651568" w:rsidRDefault="00651568" w:rsidP="00651568">
      <w:pPr>
        <w:spacing w:after="0"/>
        <w:jc w:val="left"/>
        <w:rPr>
          <w:bCs/>
        </w:rPr>
      </w:pPr>
      <w:r w:rsidRPr="00651568">
        <w:rPr>
          <w:bCs/>
        </w:rPr>
        <w:t xml:space="preserve">Putnam Master Intermediate Income Trust (“PIM”) </w:t>
      </w:r>
    </w:p>
    <w:p w14:paraId="38052B57" w14:textId="77777777" w:rsidR="00651568" w:rsidRPr="00651568" w:rsidRDefault="00651568" w:rsidP="00651568">
      <w:pPr>
        <w:spacing w:after="0"/>
        <w:jc w:val="left"/>
        <w:rPr>
          <w:bCs/>
        </w:rPr>
      </w:pPr>
      <w:r w:rsidRPr="00651568">
        <w:rPr>
          <w:bCs/>
        </w:rPr>
        <w:t xml:space="preserve">Putnam Municipal Opportunities Trust (“PMO”) </w:t>
      </w:r>
    </w:p>
    <w:p w14:paraId="395C79AE" w14:textId="77777777" w:rsidR="00651568" w:rsidRPr="00651568" w:rsidRDefault="00651568" w:rsidP="00651568">
      <w:pPr>
        <w:spacing w:after="0"/>
        <w:jc w:val="left"/>
        <w:rPr>
          <w:bCs/>
        </w:rPr>
      </w:pPr>
      <w:r w:rsidRPr="00651568">
        <w:rPr>
          <w:bCs/>
        </w:rPr>
        <w:t xml:space="preserve">Putnam Premier Income Trust (“PPT”) </w:t>
      </w:r>
    </w:p>
    <w:p w14:paraId="2BB4D038" w14:textId="77777777" w:rsidR="00651568" w:rsidRPr="00651568" w:rsidRDefault="00651568" w:rsidP="00651568">
      <w:pPr>
        <w:spacing w:after="0"/>
        <w:jc w:val="left"/>
        <w:rPr>
          <w:b/>
        </w:rPr>
      </w:pPr>
      <w:r w:rsidRPr="00651568">
        <w:t>Western Asset Diversified Income Fund (“WDI”)</w:t>
      </w:r>
    </w:p>
    <w:p w14:paraId="52A4BD2C" w14:textId="77777777" w:rsidR="00651568" w:rsidRPr="00651568" w:rsidRDefault="00651568" w:rsidP="00651568">
      <w:pPr>
        <w:spacing w:after="0"/>
        <w:jc w:val="left"/>
      </w:pPr>
      <w:r w:rsidRPr="00651568">
        <w:t>Western Asset Emerging Markets Debt Fund Inc. (“EMD”)</w:t>
      </w:r>
    </w:p>
    <w:p w14:paraId="14FA301B" w14:textId="77777777" w:rsidR="00651568" w:rsidRPr="00651568" w:rsidRDefault="00651568" w:rsidP="00651568">
      <w:pPr>
        <w:spacing w:after="0"/>
        <w:jc w:val="left"/>
      </w:pPr>
      <w:r w:rsidRPr="00651568">
        <w:t>Western Asset Global Corporate Opportunity Fund Inc. (“GDO”)</w:t>
      </w:r>
    </w:p>
    <w:p w14:paraId="5D143D98" w14:textId="77777777" w:rsidR="00651568" w:rsidRPr="00651568" w:rsidRDefault="00651568" w:rsidP="00651568">
      <w:pPr>
        <w:spacing w:after="0"/>
        <w:jc w:val="left"/>
      </w:pPr>
      <w:r w:rsidRPr="00651568">
        <w:t>Western Asset Global High Income Fund Inc. (“EHI”)</w:t>
      </w:r>
    </w:p>
    <w:p w14:paraId="6C8BDC7D" w14:textId="77777777" w:rsidR="00651568" w:rsidRPr="00651568" w:rsidRDefault="00651568" w:rsidP="00651568">
      <w:pPr>
        <w:spacing w:after="0"/>
        <w:jc w:val="left"/>
      </w:pPr>
      <w:r w:rsidRPr="00651568">
        <w:t>Western Asset High Income Fund II Inc. (“HIX”)</w:t>
      </w:r>
    </w:p>
    <w:p w14:paraId="4C96934E" w14:textId="77777777" w:rsidR="00651568" w:rsidRPr="00651568" w:rsidRDefault="00651568" w:rsidP="00651568">
      <w:pPr>
        <w:spacing w:after="0"/>
        <w:jc w:val="left"/>
      </w:pPr>
      <w:r w:rsidRPr="00651568">
        <w:t>Western Asset High Income Opportunity Fund Inc. (“HIO”)</w:t>
      </w:r>
    </w:p>
    <w:p w14:paraId="479E06C1" w14:textId="77777777" w:rsidR="00651568" w:rsidRPr="00651568" w:rsidRDefault="00651568" w:rsidP="00651568">
      <w:pPr>
        <w:spacing w:after="0"/>
        <w:jc w:val="left"/>
      </w:pPr>
      <w:r w:rsidRPr="00651568">
        <w:t>Western Asset High Yield Opportunity Fund Inc. (“HYI”)</w:t>
      </w:r>
    </w:p>
    <w:p w14:paraId="1475F7C7" w14:textId="77777777" w:rsidR="00651568" w:rsidRPr="00651568" w:rsidRDefault="00651568" w:rsidP="00651568">
      <w:pPr>
        <w:spacing w:after="0"/>
        <w:jc w:val="left"/>
      </w:pPr>
      <w:r w:rsidRPr="00651568">
        <w:t>Western Asset Intermediate Muni Fund Inc. (“SBI”)</w:t>
      </w:r>
    </w:p>
    <w:p w14:paraId="0CAF42B8" w14:textId="77777777" w:rsidR="00651568" w:rsidRPr="00651568" w:rsidRDefault="00651568" w:rsidP="00651568">
      <w:pPr>
        <w:spacing w:after="0"/>
        <w:jc w:val="left"/>
      </w:pPr>
      <w:r w:rsidRPr="00651568">
        <w:t>Western Asset Investment Grade Opportunity Trust Inc. (“IGI”)</w:t>
      </w:r>
    </w:p>
    <w:p w14:paraId="3A9F53E0" w14:textId="77777777" w:rsidR="00651568" w:rsidRPr="00651568" w:rsidRDefault="00651568" w:rsidP="00651568">
      <w:pPr>
        <w:spacing w:after="0"/>
        <w:jc w:val="left"/>
      </w:pPr>
      <w:r w:rsidRPr="00651568">
        <w:t>Western Asset Managed Municipals Fund Inc. (“MMU”)</w:t>
      </w:r>
    </w:p>
    <w:p w14:paraId="0D6199B6" w14:textId="77777777" w:rsidR="00651568" w:rsidRPr="00651568" w:rsidRDefault="00651568" w:rsidP="00651568">
      <w:pPr>
        <w:spacing w:after="0"/>
        <w:jc w:val="left"/>
      </w:pPr>
      <w:r w:rsidRPr="00651568">
        <w:t>Western Asset Mortgage Opportunity Fund Inc. (“DMO”)</w:t>
      </w:r>
    </w:p>
    <w:p w14:paraId="74528CB8" w14:textId="77777777" w:rsidR="00651568" w:rsidRPr="00651568" w:rsidRDefault="00651568" w:rsidP="00651568">
      <w:pPr>
        <w:spacing w:after="0"/>
        <w:jc w:val="left"/>
      </w:pPr>
      <w:r w:rsidRPr="00651568">
        <w:t>Western Asset Municipal High Income Fund Inc. (“MHF”)</w:t>
      </w:r>
    </w:p>
    <w:p w14:paraId="045A8014" w14:textId="77777777" w:rsidR="001F1D40" w:rsidRPr="001F1D40" w:rsidRDefault="001F1D40" w:rsidP="00651568">
      <w:pPr>
        <w:spacing w:after="0"/>
        <w:jc w:val="left"/>
        <w:rPr>
          <w:rFonts w:ascii="Georgia" w:hAnsi="Georgia" w:cs="Arial"/>
          <w:b/>
        </w:rPr>
      </w:pPr>
    </w:p>
    <w:p w14:paraId="1418FEDB" w14:textId="6DB8BF21" w:rsidR="004A4FCE" w:rsidRDefault="004A4FCE" w:rsidP="001F1D40">
      <w:pPr>
        <w:pStyle w:val="BlockTextSglJ"/>
        <w:jc w:val="right"/>
        <w:rPr>
          <w:sz w:val="22"/>
          <w:szCs w:val="22"/>
        </w:rPr>
      </w:pPr>
    </w:p>
    <w:sectPr w:rsidR="004A4FCE">
      <w:headerReference w:type="first" r:id="rId14"/>
      <w:pgSz w:w="12240" w:h="15840" w:code="1"/>
      <w:pgMar w:top="1440" w:right="1440" w:bottom="1440" w:left="1440" w:header="720"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F12D" w14:textId="77777777" w:rsidR="00F56643" w:rsidRDefault="00F56643">
      <w:r>
        <w:separator/>
      </w:r>
    </w:p>
  </w:endnote>
  <w:endnote w:type="continuationSeparator" w:id="0">
    <w:p w14:paraId="004A36F5" w14:textId="77777777" w:rsidR="00F56643" w:rsidRDefault="00F56643">
      <w:r>
        <w:continuationSeparator/>
      </w:r>
    </w:p>
  </w:endnote>
  <w:endnote w:type="continuationNotice" w:id="1">
    <w:p w14:paraId="21F69115" w14:textId="77777777" w:rsidR="00F56643" w:rsidRDefault="00F56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B9BF" w14:textId="77777777" w:rsidR="004A4FCE" w:rsidRDefault="00E47221">
    <w:pPr>
      <w:pStyle w:val="Footer"/>
    </w:pPr>
    <w:r>
      <w:rPr>
        <w:rStyle w:val="DocID"/>
      </w:rPr>
      <w:t>082221-0008-08224-NY02.2339689.1</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ED3" w14:textId="77777777" w:rsidR="004A4FCE" w:rsidRDefault="004A4FCE">
    <w:pPr>
      <w:pStyle w:val="Footer"/>
      <w:spacing w:after="0"/>
      <w:jc w:val="center"/>
    </w:pPr>
  </w:p>
  <w:p w14:paraId="686DB98D" w14:textId="48B5F3CC" w:rsidR="004A4FCE" w:rsidRDefault="00E47221">
    <w:pPr>
      <w:pStyle w:val="Footer"/>
      <w:jc w:val="center"/>
    </w:pPr>
    <w:r>
      <w:t xml:space="preserve"> </w:t>
    </w:r>
    <w:r>
      <w:fldChar w:fldCharType="begin"/>
    </w:r>
    <w:r>
      <w:instrText xml:space="preserve"> PAGE  \* MERGEFORMAT </w:instrText>
    </w:r>
    <w:r>
      <w:fldChar w:fldCharType="separate"/>
    </w:r>
    <w:r w:rsidR="001F1D40">
      <w:rPr>
        <w:noProof/>
      </w:rPr>
      <w:t>2</w:t>
    </w:r>
    <w:r>
      <w:fldChar w:fldCharType="end"/>
    </w:r>
    <w:r>
      <w:t xml:space="preserve"> </w:t>
    </w:r>
  </w:p>
  <w:p w14:paraId="54743934" w14:textId="77777777" w:rsidR="004A4FCE" w:rsidRDefault="00E47221">
    <w:pPr>
      <w:pStyle w:val="Footer"/>
      <w:jc w:val="right"/>
    </w:pPr>
    <w:r>
      <w:rPr>
        <w:sz w:val="16"/>
      </w:rPr>
      <w:t># 1538319  v.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019" w14:textId="77777777" w:rsidR="004A4FCE" w:rsidRDefault="00E47221">
    <w:pPr>
      <w:pStyle w:val="Footer"/>
      <w:jc w:val="right"/>
      <w:rPr>
        <w:iCs/>
      </w:rPr>
    </w:pPr>
    <w:r>
      <w:rPr>
        <w:iCs/>
        <w:sz w:val="16"/>
      </w:rPr>
      <w:t># 1538319  v.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F252" w14:textId="77777777" w:rsidR="00F56643" w:rsidRDefault="00F56643">
      <w:r>
        <w:separator/>
      </w:r>
    </w:p>
  </w:footnote>
  <w:footnote w:type="continuationSeparator" w:id="0">
    <w:p w14:paraId="47D8C00A" w14:textId="77777777" w:rsidR="00F56643" w:rsidRDefault="00F56643">
      <w:r>
        <w:continuationSeparator/>
      </w:r>
    </w:p>
  </w:footnote>
  <w:footnote w:type="continuationNotice" w:id="1">
    <w:p w14:paraId="4126555C" w14:textId="77777777" w:rsidR="00F56643" w:rsidRDefault="00F566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748" w14:textId="77777777" w:rsidR="004A4FCE" w:rsidRDefault="00E47221">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9EC8" w14:textId="77777777" w:rsidR="004A4FCE" w:rsidRDefault="004A4FCE">
    <w:pPr>
      <w:pStyle w:val="Header"/>
      <w:jc w:val="right"/>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310D2E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F02275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196AD3"/>
    <w:multiLevelType w:val="hybridMultilevel"/>
    <w:tmpl w:val="8EE8EA1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212ED"/>
    <w:multiLevelType w:val="hybridMultilevel"/>
    <w:tmpl w:val="F9BC36BA"/>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4516E"/>
    <w:multiLevelType w:val="hybridMultilevel"/>
    <w:tmpl w:val="68641E8E"/>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85338"/>
    <w:multiLevelType w:val="hybridMultilevel"/>
    <w:tmpl w:val="4D0C3CA6"/>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2D62"/>
    <w:multiLevelType w:val="hybridMultilevel"/>
    <w:tmpl w:val="70C0F508"/>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F1F1D"/>
    <w:multiLevelType w:val="hybridMultilevel"/>
    <w:tmpl w:val="73BC7B3A"/>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D62B9"/>
    <w:multiLevelType w:val="hybridMultilevel"/>
    <w:tmpl w:val="4F0E5AB6"/>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674DE"/>
    <w:multiLevelType w:val="hybridMultilevel"/>
    <w:tmpl w:val="FD88EC54"/>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92571"/>
    <w:multiLevelType w:val="hybridMultilevel"/>
    <w:tmpl w:val="766CA48C"/>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C154E"/>
    <w:multiLevelType w:val="hybridMultilevel"/>
    <w:tmpl w:val="B9CC4902"/>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74152"/>
    <w:multiLevelType w:val="hybridMultilevel"/>
    <w:tmpl w:val="826269DA"/>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7CA8"/>
    <w:multiLevelType w:val="hybridMultilevel"/>
    <w:tmpl w:val="B6184ADE"/>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E51453"/>
    <w:multiLevelType w:val="hybridMultilevel"/>
    <w:tmpl w:val="F672295E"/>
    <w:lvl w:ilvl="0" w:tplc="D1E4CC66">
      <w:start w:val="1"/>
      <w:numFmt w:val="decima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959529">
    <w:abstractNumId w:val="22"/>
  </w:num>
  <w:num w:numId="2" w16cid:durableId="25911785">
    <w:abstractNumId w:val="8"/>
  </w:num>
  <w:num w:numId="3" w16cid:durableId="1758750887">
    <w:abstractNumId w:val="8"/>
  </w:num>
  <w:num w:numId="4" w16cid:durableId="1476292466">
    <w:abstractNumId w:val="8"/>
  </w:num>
  <w:num w:numId="5" w16cid:durableId="1788235080">
    <w:abstractNumId w:val="8"/>
  </w:num>
  <w:num w:numId="6" w16cid:durableId="1063138442">
    <w:abstractNumId w:val="8"/>
  </w:num>
  <w:num w:numId="7" w16cid:durableId="168762789">
    <w:abstractNumId w:val="8"/>
  </w:num>
  <w:num w:numId="8" w16cid:durableId="2106029095">
    <w:abstractNumId w:val="8"/>
  </w:num>
  <w:num w:numId="9" w16cid:durableId="856506055">
    <w:abstractNumId w:val="4"/>
  </w:num>
  <w:num w:numId="10" w16cid:durableId="1244873061">
    <w:abstractNumId w:val="4"/>
  </w:num>
  <w:num w:numId="11" w16cid:durableId="597101730">
    <w:abstractNumId w:val="3"/>
  </w:num>
  <w:num w:numId="12" w16cid:durableId="1406368498">
    <w:abstractNumId w:val="3"/>
  </w:num>
  <w:num w:numId="13" w16cid:durableId="1387030818">
    <w:abstractNumId w:val="2"/>
  </w:num>
  <w:num w:numId="14" w16cid:durableId="1688099894">
    <w:abstractNumId w:val="2"/>
  </w:num>
  <w:num w:numId="15" w16cid:durableId="269052745">
    <w:abstractNumId w:val="1"/>
  </w:num>
  <w:num w:numId="16" w16cid:durableId="1869416979">
    <w:abstractNumId w:val="1"/>
  </w:num>
  <w:num w:numId="17" w16cid:durableId="771819265">
    <w:abstractNumId w:val="0"/>
  </w:num>
  <w:num w:numId="18" w16cid:durableId="596252690">
    <w:abstractNumId w:val="0"/>
  </w:num>
  <w:num w:numId="19" w16cid:durableId="1147282690">
    <w:abstractNumId w:val="5"/>
  </w:num>
  <w:num w:numId="20" w16cid:durableId="907692197">
    <w:abstractNumId w:val="21"/>
  </w:num>
  <w:num w:numId="21" w16cid:durableId="263005474">
    <w:abstractNumId w:val="19"/>
  </w:num>
  <w:num w:numId="22" w16cid:durableId="1270426792">
    <w:abstractNumId w:val="16"/>
  </w:num>
  <w:num w:numId="23" w16cid:durableId="555314377">
    <w:abstractNumId w:val="20"/>
  </w:num>
  <w:num w:numId="24" w16cid:durableId="1413623968">
    <w:abstractNumId w:val="12"/>
  </w:num>
  <w:num w:numId="25" w16cid:durableId="1587575948">
    <w:abstractNumId w:val="9"/>
  </w:num>
  <w:num w:numId="26" w16cid:durableId="1035690565">
    <w:abstractNumId w:val="14"/>
  </w:num>
  <w:num w:numId="27" w16cid:durableId="1209803595">
    <w:abstractNumId w:val="15"/>
  </w:num>
  <w:num w:numId="28" w16cid:durableId="1180969886">
    <w:abstractNumId w:val="6"/>
  </w:num>
  <w:num w:numId="29" w16cid:durableId="2060081394">
    <w:abstractNumId w:val="11"/>
  </w:num>
  <w:num w:numId="30" w16cid:durableId="2113436098">
    <w:abstractNumId w:val="10"/>
  </w:num>
  <w:num w:numId="31" w16cid:durableId="1326975373">
    <w:abstractNumId w:val="18"/>
  </w:num>
  <w:num w:numId="32" w16cid:durableId="362287406">
    <w:abstractNumId w:val="17"/>
  </w:num>
  <w:num w:numId="33" w16cid:durableId="986395871">
    <w:abstractNumId w:val="7"/>
  </w:num>
  <w:num w:numId="34" w16cid:durableId="135922885">
    <w:abstractNumId w:val="13"/>
  </w:num>
  <w:num w:numId="35" w16cid:durableId="184752859">
    <w:abstractNumId w:val="3"/>
  </w:num>
  <w:num w:numId="36" w16cid:durableId="194839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CE"/>
    <w:rsid w:val="00030EE0"/>
    <w:rsid w:val="0005209C"/>
    <w:rsid w:val="00097BB9"/>
    <w:rsid w:val="001678EE"/>
    <w:rsid w:val="001F1D40"/>
    <w:rsid w:val="002B747C"/>
    <w:rsid w:val="00432A81"/>
    <w:rsid w:val="004752A4"/>
    <w:rsid w:val="00487052"/>
    <w:rsid w:val="004A4FCE"/>
    <w:rsid w:val="004A76C6"/>
    <w:rsid w:val="004D0AE6"/>
    <w:rsid w:val="004D1D00"/>
    <w:rsid w:val="004F5F6D"/>
    <w:rsid w:val="00555572"/>
    <w:rsid w:val="00651568"/>
    <w:rsid w:val="006671AC"/>
    <w:rsid w:val="0089041C"/>
    <w:rsid w:val="00913AEE"/>
    <w:rsid w:val="009242DB"/>
    <w:rsid w:val="00961E29"/>
    <w:rsid w:val="009C5BC7"/>
    <w:rsid w:val="009F49C7"/>
    <w:rsid w:val="00A75348"/>
    <w:rsid w:val="00AC3384"/>
    <w:rsid w:val="00B15DFE"/>
    <w:rsid w:val="00B2639D"/>
    <w:rsid w:val="00C43FFE"/>
    <w:rsid w:val="00C76B66"/>
    <w:rsid w:val="00CE3CA3"/>
    <w:rsid w:val="00D63E7A"/>
    <w:rsid w:val="00D96697"/>
    <w:rsid w:val="00E067A2"/>
    <w:rsid w:val="00E22727"/>
    <w:rsid w:val="00E47221"/>
    <w:rsid w:val="00E61F1D"/>
    <w:rsid w:val="00ED12FC"/>
    <w:rsid w:val="00F56643"/>
    <w:rsid w:val="3D06F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0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cs="Arial"/>
      <w:bCs/>
      <w:szCs w:val="32"/>
    </w:rPr>
  </w:style>
  <w:style w:type="paragraph" w:styleId="Heading2">
    <w:name w:val="heading 2"/>
    <w:basedOn w:val="Normal"/>
    <w:next w:val="BodyText"/>
    <w:qFormat/>
    <w:pPr>
      <w:keepNext/>
      <w:suppressAutoHyphens/>
      <w:ind w:firstLine="720"/>
      <w:outlineLvl w:val="1"/>
    </w:pPr>
    <w:rPr>
      <w:rFonts w:cs="Arial"/>
      <w:bCs/>
      <w:iCs/>
      <w:szCs w:val="28"/>
    </w:rPr>
  </w:style>
  <w:style w:type="paragraph" w:styleId="Heading3">
    <w:name w:val="heading 3"/>
    <w:basedOn w:val="Normal"/>
    <w:next w:val="Normal"/>
    <w:qFormat/>
    <w:pPr>
      <w:keepNext/>
      <w:ind w:firstLine="1440"/>
      <w:outlineLvl w:val="2"/>
    </w:pPr>
    <w:rPr>
      <w:rFonts w:cs="Arial"/>
      <w:bCs/>
      <w:szCs w:val="26"/>
    </w:rPr>
  </w:style>
  <w:style w:type="paragraph" w:styleId="Heading4">
    <w:name w:val="heading 4"/>
    <w:basedOn w:val="Normal"/>
    <w:next w:val="Normal"/>
    <w:qFormat/>
    <w:pPr>
      <w:keepNext/>
      <w:ind w:firstLine="2160"/>
      <w:outlineLvl w:val="3"/>
    </w:pPr>
    <w:rPr>
      <w:bCs/>
      <w:szCs w:val="28"/>
    </w:rPr>
  </w:style>
  <w:style w:type="paragraph" w:styleId="Heading5">
    <w:name w:val="heading 5"/>
    <w:basedOn w:val="Normal"/>
    <w:next w:val="Normal"/>
    <w:qFormat/>
    <w:pPr>
      <w:ind w:firstLine="2880"/>
      <w:outlineLvl w:val="4"/>
    </w:pPr>
    <w:rPr>
      <w:bCs/>
      <w:iCs/>
      <w:szCs w:val="26"/>
    </w:rPr>
  </w:style>
  <w:style w:type="paragraph" w:styleId="Heading6">
    <w:name w:val="heading 6"/>
    <w:basedOn w:val="Normal"/>
    <w:next w:val="Normal"/>
    <w:qFormat/>
    <w:pPr>
      <w:ind w:firstLine="3600"/>
      <w:outlineLvl w:val="5"/>
    </w:pPr>
    <w:rPr>
      <w:bCs/>
      <w:szCs w:val="22"/>
    </w:rPr>
  </w:style>
  <w:style w:type="paragraph" w:styleId="Heading7">
    <w:name w:val="heading 7"/>
    <w:basedOn w:val="Normal"/>
    <w:next w:val="Normal"/>
    <w:qFormat/>
    <w:pPr>
      <w:ind w:firstLine="4320"/>
      <w:outlineLvl w:val="6"/>
    </w:pPr>
  </w:style>
  <w:style w:type="paragraph" w:styleId="Heading8">
    <w:name w:val="heading 8"/>
    <w:basedOn w:val="Normal"/>
    <w:next w:val="Normal"/>
    <w:qFormat/>
    <w:pPr>
      <w:ind w:firstLine="5040"/>
      <w:outlineLvl w:val="7"/>
    </w:pPr>
    <w:rPr>
      <w:iCs/>
    </w:rPr>
  </w:style>
  <w:style w:type="paragraph" w:styleId="Heading9">
    <w:name w:val="heading 9"/>
    <w:basedOn w:val="Normal"/>
    <w:next w:val="Normal"/>
    <w:qFormat/>
    <w:pPr>
      <w:ind w:firstLine="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uto"/>
    </w:pPr>
  </w:style>
  <w:style w:type="paragraph" w:styleId="BodyText">
    <w:name w:val="Body Text"/>
    <w:basedOn w:val="Normal"/>
    <w:pPr>
      <w:spacing w:line="480" w:lineRule="auto"/>
      <w:ind w:firstLine="1440"/>
    </w:pPr>
    <w:rPr>
      <w:szCs w:val="20"/>
    </w:rPr>
  </w:style>
  <w:style w:type="paragraph" w:styleId="BodyText2">
    <w:name w:val="Body Text 2"/>
    <w:basedOn w:val="Normal"/>
    <w:pPr>
      <w:spacing w:line="480" w:lineRule="auto"/>
      <w:ind w:firstLine="720"/>
    </w:pPr>
  </w:style>
  <w:style w:type="paragraph" w:customStyle="1" w:styleId="BodyText2Sgl">
    <w:name w:val="Body Text 2 Sgl"/>
    <w:basedOn w:val="Normal"/>
    <w:pPr>
      <w:ind w:firstLine="720"/>
    </w:pPr>
  </w:style>
  <w:style w:type="paragraph" w:customStyle="1" w:styleId="BodyTextSgl">
    <w:name w:val="Body Text Sgl"/>
    <w:basedOn w:val="Normal"/>
    <w:pPr>
      <w:ind w:firstLine="1440"/>
    </w:pPr>
  </w:style>
  <w:style w:type="character" w:customStyle="1" w:styleId="DocID">
    <w:name w:val="DocID"/>
    <w:basedOn w:val="DefaultParagraphFont"/>
    <w:rPr>
      <w:noProof/>
      <w:sz w:val="1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odyTextNumbered">
    <w:name w:val="Body Text Numbered"/>
    <w:basedOn w:val="BodyText"/>
    <w:pPr>
      <w:numPr>
        <w:numId w:val="8"/>
      </w:numPr>
      <w:tabs>
        <w:tab w:val="clear" w:pos="1800"/>
      </w:tabs>
    </w:pPr>
  </w:style>
  <w:style w:type="paragraph" w:customStyle="1" w:styleId="BlockText1Sgl">
    <w:name w:val="Block Text 1 Sgl"/>
    <w:basedOn w:val="Normal"/>
    <w:pPr>
      <w:ind w:left="1440" w:right="1440"/>
    </w:pPr>
    <w:rPr>
      <w:szCs w:val="20"/>
    </w:rPr>
  </w:style>
  <w:style w:type="paragraph" w:customStyle="1" w:styleId="BlockTextSglJ">
    <w:name w:val="Block Text Sgl J"/>
    <w:basedOn w:val="Normal"/>
  </w:style>
  <w:style w:type="paragraph" w:customStyle="1" w:styleId="TitleUC">
    <w:name w:val="Title UC"/>
    <w:basedOn w:val="Normal"/>
    <w:next w:val="Normal"/>
    <w:pPr>
      <w:jc w:val="center"/>
      <w:outlineLvl w:val="0"/>
    </w:pPr>
    <w:rPr>
      <w:u w:val="single"/>
    </w:rPr>
  </w:style>
  <w:style w:type="paragraph" w:customStyle="1" w:styleId="FooterLandscape">
    <w:name w:val="Footer Landscape"/>
    <w:basedOn w:val="Normal"/>
    <w:pPr>
      <w:tabs>
        <w:tab w:val="center" w:pos="7200"/>
        <w:tab w:val="right" w:pos="14400"/>
      </w:tabs>
    </w:pPr>
    <w:rPr>
      <w:rFonts w:ascii="Arial" w:hAnsi="Arial"/>
    </w:rPr>
  </w:style>
  <w:style w:type="paragraph" w:customStyle="1" w:styleId="FootnoteTextMore">
    <w:name w:val="Footnote TextMore"/>
    <w:basedOn w:val="FootnoteText"/>
    <w:pPr>
      <w:ind w:firstLine="0"/>
    </w:pPr>
  </w:style>
  <w:style w:type="paragraph" w:styleId="FootnoteText">
    <w:name w:val="footnote text"/>
    <w:basedOn w:val="Normal"/>
    <w:next w:val="FootnoteTextMore"/>
    <w:semiHidden/>
    <w:pPr>
      <w:ind w:left="720" w:hanging="720"/>
    </w:pPr>
    <w:rPr>
      <w:szCs w:val="20"/>
    </w:rPr>
  </w:style>
  <w:style w:type="paragraph" w:customStyle="1" w:styleId="EndnoteTextMore">
    <w:name w:val="Endnote TextMore"/>
    <w:basedOn w:val="EndnoteText"/>
    <w:pPr>
      <w:ind w:firstLine="0"/>
    </w:pPr>
  </w:style>
  <w:style w:type="paragraph" w:styleId="EndnoteText">
    <w:name w:val="endnote text"/>
    <w:basedOn w:val="Normal"/>
    <w:next w:val="EndnoteTextMore"/>
    <w:semiHidden/>
    <w:pPr>
      <w:ind w:left="720" w:hanging="720"/>
    </w:pPr>
    <w:rPr>
      <w:szCs w:val="20"/>
    </w:rPr>
  </w:style>
  <w:style w:type="paragraph" w:customStyle="1" w:styleId="BlockText5">
    <w:name w:val="Block Text .5"/>
    <w:basedOn w:val="Normal"/>
    <w:pPr>
      <w:spacing w:line="480" w:lineRule="auto"/>
      <w:ind w:left="720" w:right="720"/>
    </w:pPr>
    <w:rPr>
      <w:szCs w:val="20"/>
    </w:rPr>
  </w:style>
  <w:style w:type="paragraph" w:customStyle="1" w:styleId="BlockText1">
    <w:name w:val="Block Text 1"/>
    <w:basedOn w:val="Normal"/>
    <w:pPr>
      <w:spacing w:line="480" w:lineRule="auto"/>
      <w:ind w:left="1440" w:right="1440"/>
    </w:pPr>
  </w:style>
  <w:style w:type="paragraph" w:customStyle="1" w:styleId="BlockTextJ">
    <w:name w:val="Block Text J"/>
    <w:basedOn w:val="BlockText"/>
    <w:rPr>
      <w:szCs w:val="20"/>
    </w:rPr>
  </w:style>
  <w:style w:type="paragraph" w:customStyle="1" w:styleId="BodyText2J">
    <w:name w:val="Body Text 2 J"/>
    <w:basedOn w:val="BodyText2"/>
    <w:rPr>
      <w:szCs w:val="20"/>
    </w:rPr>
  </w:style>
  <w:style w:type="paragraph" w:styleId="BodyText3">
    <w:name w:val="Body Text 3"/>
    <w:basedOn w:val="Normal"/>
    <w:pPr>
      <w:spacing w:line="360" w:lineRule="auto"/>
      <w:ind w:firstLine="1440"/>
    </w:pPr>
    <w:rPr>
      <w:szCs w:val="16"/>
    </w:rPr>
  </w:style>
  <w:style w:type="paragraph" w:customStyle="1" w:styleId="BodyText3J">
    <w:name w:val="Body Text 3 J"/>
    <w:basedOn w:val="BodyText3"/>
  </w:style>
  <w:style w:type="paragraph" w:customStyle="1" w:styleId="BodyTextJ">
    <w:name w:val="Body Text J"/>
    <w:basedOn w:val="BodyText"/>
  </w:style>
  <w:style w:type="paragraph" w:styleId="Date">
    <w:name w:val="Date"/>
    <w:basedOn w:val="Normal"/>
    <w:next w:val="Normal"/>
    <w:rPr>
      <w:szCs w:val="20"/>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Salutation">
    <w:name w:val="Salutation"/>
    <w:basedOn w:val="Normal"/>
    <w:next w:val="Normal"/>
  </w:style>
  <w:style w:type="paragraph" w:styleId="Title">
    <w:name w:val="Title"/>
    <w:aliases w:val="t"/>
    <w:basedOn w:val="Normal"/>
    <w:next w:val="BodyText"/>
    <w:link w:val="TitleChar"/>
    <w:uiPriority w:val="99"/>
    <w:qFormat/>
    <w:pPr>
      <w:jc w:val="center"/>
      <w:outlineLvl w:val="0"/>
    </w:pPr>
    <w:rPr>
      <w:rFonts w:cs="Arial"/>
      <w:b/>
      <w:bCs/>
      <w:szCs w:val="32"/>
    </w:rPr>
  </w:style>
  <w:style w:type="paragraph" w:customStyle="1" w:styleId="TitleL">
    <w:name w:val="Title L"/>
    <w:basedOn w:val="Title"/>
    <w:pPr>
      <w:jc w:val="left"/>
    </w:pPr>
    <w:rPr>
      <w:rFonts w:ascii="Times New Roman Bold" w:hAnsi="Times New Roman Bold"/>
      <w:smallCaps/>
    </w:rPr>
  </w:style>
  <w:style w:type="paragraph" w:styleId="TOC1">
    <w:name w:val="toc 1"/>
    <w:basedOn w:val="Normal"/>
    <w:next w:val="Normal"/>
    <w:autoRedefine/>
    <w:semiHidden/>
    <w:pPr>
      <w:tabs>
        <w:tab w:val="right" w:leader="dot" w:pos="9360"/>
      </w:tabs>
      <w:ind w:left="720" w:hanging="720"/>
    </w:pPr>
    <w:rPr>
      <w:noProof/>
      <w:szCs w:val="20"/>
    </w:rPr>
  </w:style>
  <w:style w:type="paragraph" w:styleId="TOC2">
    <w:name w:val="toc 2"/>
    <w:basedOn w:val="Normal"/>
    <w:next w:val="Normal"/>
    <w:autoRedefine/>
    <w:semiHidden/>
    <w:pPr>
      <w:tabs>
        <w:tab w:val="right" w:leader="dot" w:pos="9360"/>
      </w:tabs>
      <w:ind w:left="1440" w:hanging="720"/>
    </w:pPr>
    <w:rPr>
      <w:noProof/>
      <w:szCs w:val="20"/>
    </w:rPr>
  </w:style>
  <w:style w:type="paragraph" w:styleId="TOC3">
    <w:name w:val="toc 3"/>
    <w:basedOn w:val="Normal"/>
    <w:next w:val="Normal"/>
    <w:autoRedefine/>
    <w:semiHidden/>
    <w:pPr>
      <w:tabs>
        <w:tab w:val="right" w:leader="dot" w:pos="9360"/>
      </w:tabs>
      <w:ind w:left="2160" w:hanging="720"/>
    </w:pPr>
    <w:rPr>
      <w:noProof/>
      <w:szCs w:val="20"/>
    </w:rPr>
  </w:style>
  <w:style w:type="paragraph" w:styleId="TOC4">
    <w:name w:val="toc 4"/>
    <w:basedOn w:val="Normal"/>
    <w:next w:val="Normal"/>
    <w:autoRedefine/>
    <w:semiHidden/>
    <w:pPr>
      <w:tabs>
        <w:tab w:val="right" w:leader="dot" w:pos="9360"/>
      </w:tabs>
      <w:ind w:left="2880" w:hanging="720"/>
    </w:pPr>
    <w:rPr>
      <w:noProof/>
      <w:szCs w:val="20"/>
    </w:rPr>
  </w:style>
  <w:style w:type="paragraph" w:styleId="TOC5">
    <w:name w:val="toc 5"/>
    <w:basedOn w:val="Normal"/>
    <w:next w:val="Normal"/>
    <w:autoRedefine/>
    <w:semiHidden/>
    <w:pPr>
      <w:tabs>
        <w:tab w:val="right" w:leader="dot" w:pos="9360"/>
      </w:tabs>
      <w:ind w:left="3600" w:hanging="720"/>
    </w:pPr>
    <w:rPr>
      <w:noProof/>
      <w:szCs w:val="20"/>
    </w:rPr>
  </w:style>
  <w:style w:type="paragraph" w:styleId="TOC6">
    <w:name w:val="toc 6"/>
    <w:basedOn w:val="Normal"/>
    <w:next w:val="Normal"/>
    <w:autoRedefine/>
    <w:semiHidden/>
    <w:pPr>
      <w:tabs>
        <w:tab w:val="right" w:leader="dot" w:pos="9360"/>
      </w:tabs>
      <w:ind w:left="4320" w:hanging="720"/>
    </w:pPr>
    <w:rPr>
      <w:noProof/>
      <w:szCs w:val="20"/>
    </w:rPr>
  </w:style>
  <w:style w:type="paragraph" w:styleId="TOC7">
    <w:name w:val="toc 7"/>
    <w:basedOn w:val="Normal"/>
    <w:next w:val="Normal"/>
    <w:autoRedefine/>
    <w:semiHidden/>
    <w:pPr>
      <w:tabs>
        <w:tab w:val="left" w:leader="dot" w:pos="9360"/>
      </w:tabs>
      <w:ind w:left="5040" w:hanging="720"/>
    </w:pPr>
    <w:rPr>
      <w:noProof/>
      <w:szCs w:val="20"/>
    </w:rPr>
  </w:style>
  <w:style w:type="paragraph" w:styleId="TOC8">
    <w:name w:val="toc 8"/>
    <w:basedOn w:val="Normal"/>
    <w:next w:val="Normal"/>
    <w:autoRedefine/>
    <w:semiHidden/>
    <w:pPr>
      <w:tabs>
        <w:tab w:val="right" w:leader="dot" w:pos="9360"/>
      </w:tabs>
      <w:ind w:left="5760" w:hanging="720"/>
    </w:pPr>
    <w:rPr>
      <w:noProof/>
      <w:szCs w:val="20"/>
    </w:rPr>
  </w:style>
  <w:style w:type="paragraph" w:styleId="TOC9">
    <w:name w:val="toc 9"/>
    <w:basedOn w:val="Normal"/>
    <w:next w:val="Normal"/>
    <w:autoRedefine/>
    <w:semiHidden/>
    <w:pPr>
      <w:tabs>
        <w:tab w:val="right" w:leader="dot" w:pos="9360"/>
      </w:tabs>
      <w:ind w:left="6480" w:hanging="720"/>
    </w:pPr>
    <w:rPr>
      <w:noProof/>
      <w:szCs w:val="20"/>
    </w:rPr>
  </w:style>
  <w:style w:type="paragraph" w:customStyle="1" w:styleId="BlockTextSgl">
    <w:name w:val="Block Text Sgl"/>
    <w:basedOn w:val="Normal"/>
  </w:style>
  <w:style w:type="paragraph" w:styleId="BodyTextFirstIndent">
    <w:name w:val="Body Text First Indent"/>
    <w:basedOn w:val="BodyText"/>
    <w:pPr>
      <w:spacing w:line="240" w:lineRule="auto"/>
      <w:ind w:firstLine="720"/>
    </w:pPr>
    <w:rPr>
      <w:szCs w:val="24"/>
    </w:rPr>
  </w:style>
  <w:style w:type="paragraph" w:styleId="BodyTextIndent">
    <w:name w:val="Body Text Indent"/>
    <w:basedOn w:val="Normal"/>
    <w:pPr>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ind w:left="720"/>
    </w:pPr>
    <w:rPr>
      <w:szCs w:val="16"/>
    </w:rPr>
  </w:style>
  <w:style w:type="paragraph" w:styleId="Closing">
    <w:name w:val="Closing"/>
    <w:basedOn w:val="Normal"/>
    <w:pPr>
      <w:spacing w:after="600"/>
      <w:ind w:left="43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basedOn w:val="DefaultParagraphFont"/>
    <w:rPr>
      <w:color w:val="800080"/>
      <w:u w:val="single"/>
    </w:rPr>
  </w:style>
  <w:style w:type="paragraph" w:styleId="Index1">
    <w:name w:val="index 1"/>
    <w:basedOn w:val="Normal"/>
    <w:next w:val="Normal"/>
    <w:autoRedefine/>
    <w:semiHidden/>
    <w:pPr>
      <w:ind w:left="360" w:hanging="360"/>
    </w:pPr>
  </w:style>
  <w:style w:type="paragraph" w:styleId="Index2">
    <w:name w:val="index 2"/>
    <w:basedOn w:val="Normal"/>
    <w:next w:val="Normal"/>
    <w:autoRedefine/>
    <w:semiHidden/>
    <w:pPr>
      <w:ind w:left="720" w:hanging="360"/>
    </w:pPr>
  </w:style>
  <w:style w:type="paragraph" w:styleId="Index3">
    <w:name w:val="index 3"/>
    <w:basedOn w:val="Normal"/>
    <w:next w:val="Normal"/>
    <w:autoRedefine/>
    <w:semiHidden/>
    <w:pPr>
      <w:ind w:left="1080" w:hanging="360"/>
    </w:pPr>
  </w:style>
  <w:style w:type="paragraph" w:styleId="Index4">
    <w:name w:val="index 4"/>
    <w:basedOn w:val="Normal"/>
    <w:next w:val="Normal"/>
    <w:autoRedefine/>
    <w:semiHidden/>
    <w:pPr>
      <w:ind w:left="1440" w:hanging="360"/>
    </w:pPr>
  </w:style>
  <w:style w:type="paragraph" w:styleId="Index5">
    <w:name w:val="index 5"/>
    <w:basedOn w:val="Normal"/>
    <w:next w:val="Normal"/>
    <w:autoRedefine/>
    <w:semiHidden/>
    <w:pPr>
      <w:ind w:left="1800" w:hanging="360"/>
    </w:pPr>
  </w:style>
  <w:style w:type="paragraph" w:styleId="Index6">
    <w:name w:val="index 6"/>
    <w:basedOn w:val="Normal"/>
    <w:next w:val="Normal"/>
    <w:autoRedefine/>
    <w:semiHidden/>
    <w:pPr>
      <w:ind w:left="2160" w:hanging="360"/>
    </w:pPr>
  </w:style>
  <w:style w:type="paragraph" w:styleId="Index7">
    <w:name w:val="index 7"/>
    <w:basedOn w:val="Normal"/>
    <w:next w:val="Normal"/>
    <w:autoRedefine/>
    <w:semiHidden/>
    <w:pPr>
      <w:ind w:left="2520" w:hanging="360"/>
    </w:pPr>
  </w:style>
  <w:style w:type="paragraph" w:styleId="Index8">
    <w:name w:val="index 8"/>
    <w:basedOn w:val="Normal"/>
    <w:next w:val="Normal"/>
    <w:autoRedefine/>
    <w:semiHidden/>
    <w:pPr>
      <w:ind w:left="2880" w:hanging="360"/>
    </w:pPr>
  </w:style>
  <w:style w:type="paragraph" w:styleId="Index9">
    <w:name w:val="index 9"/>
    <w:basedOn w:val="Normal"/>
    <w:next w:val="Normal"/>
    <w:autoRedefine/>
    <w:semiHidden/>
    <w:pPr>
      <w:ind w:left="3240" w:hanging="360"/>
    </w:pPr>
  </w:style>
  <w:style w:type="paragraph" w:styleId="IndexHeading">
    <w:name w:val="index heading"/>
    <w:basedOn w:val="Normal"/>
    <w:next w:val="Index1"/>
    <w:semiHidden/>
    <w:pPr>
      <w:keepNext/>
      <w:jc w:val="center"/>
    </w:pPr>
    <w:rPr>
      <w:rFonts w:cs="Arial"/>
      <w:b/>
      <w:bCs/>
    </w:r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Subtitle">
    <w:name w:val="Subtitle"/>
    <w:basedOn w:val="Normal"/>
    <w:qFormat/>
    <w:pPr>
      <w:jc w:val="center"/>
      <w:outlineLvl w:val="1"/>
    </w:pPr>
    <w:rPr>
      <w:rFonts w:cs="Arial"/>
    </w:rPr>
  </w:style>
  <w:style w:type="paragraph" w:styleId="TableofAuthorities">
    <w:name w:val="table of authorities"/>
    <w:basedOn w:val="Normal"/>
    <w:next w:val="Normal"/>
    <w:semiHidden/>
    <w:pPr>
      <w:ind w:left="720" w:hanging="720"/>
    </w:pPr>
  </w:style>
  <w:style w:type="paragraph" w:styleId="TableofFigures">
    <w:name w:val="table of figures"/>
    <w:basedOn w:val="Normal"/>
    <w:next w:val="Normal"/>
    <w:semiHidden/>
    <w:pPr>
      <w:ind w:left="720" w:hanging="720"/>
    </w:pPr>
  </w:style>
  <w:style w:type="paragraph" w:customStyle="1" w:styleId="TitleB">
    <w:name w:val="Title B"/>
    <w:basedOn w:val="Normal"/>
    <w:next w:val="BodyText"/>
    <w:pPr>
      <w:outlineLvl w:val="0"/>
    </w:pPr>
    <w:rPr>
      <w:b/>
    </w:rPr>
  </w:style>
  <w:style w:type="paragraph" w:customStyle="1" w:styleId="TitleBC">
    <w:name w:val="Title BC"/>
    <w:basedOn w:val="Normal"/>
    <w:next w:val="BodyText"/>
    <w:pPr>
      <w:jc w:val="center"/>
      <w:outlineLvl w:val="0"/>
    </w:pPr>
    <w:rPr>
      <w:b/>
    </w:rPr>
  </w:style>
  <w:style w:type="paragraph" w:customStyle="1" w:styleId="TitleBU">
    <w:name w:val="Title BU"/>
    <w:basedOn w:val="Normal"/>
    <w:next w:val="BodyText"/>
    <w:pPr>
      <w:outlineLvl w:val="0"/>
    </w:pPr>
    <w:rPr>
      <w:b/>
      <w:u w:val="single"/>
    </w:rPr>
  </w:style>
  <w:style w:type="paragraph" w:customStyle="1" w:styleId="TitleBUC">
    <w:name w:val="Title BUC"/>
    <w:basedOn w:val="Normal"/>
    <w:next w:val="BodyText"/>
    <w:pPr>
      <w:jc w:val="center"/>
      <w:outlineLvl w:val="0"/>
    </w:pPr>
    <w:rPr>
      <w:b/>
      <w:u w:val="single"/>
    </w:rPr>
  </w:style>
  <w:style w:type="paragraph" w:styleId="TOAHeading">
    <w:name w:val="toa heading"/>
    <w:basedOn w:val="Normal"/>
    <w:next w:val="Normal"/>
    <w:semiHidden/>
    <w:pPr>
      <w:jc w:val="center"/>
    </w:pPr>
    <w:rPr>
      <w:rFonts w:cs="Arial"/>
      <w:b/>
      <w:bCs/>
    </w:rPr>
  </w:style>
  <w:style w:type="paragraph" w:styleId="ListBullet">
    <w:name w:val="List Bullet"/>
    <w:basedOn w:val="Normal"/>
    <w:autoRedefine/>
    <w:pPr>
      <w:numPr>
        <w:numId w:val="10"/>
      </w:numPr>
    </w:pPr>
  </w:style>
  <w:style w:type="paragraph" w:customStyle="1" w:styleId="TitleC">
    <w:name w:val="Title C"/>
    <w:basedOn w:val="Normal"/>
    <w:next w:val="Normal"/>
    <w:pPr>
      <w:jc w:val="center"/>
    </w:pPr>
  </w:style>
  <w:style w:type="paragraph" w:customStyle="1" w:styleId="CenteredText">
    <w:name w:val="Centered Text"/>
    <w:basedOn w:val="Normal"/>
    <w:pPr>
      <w:jc w:val="center"/>
    </w:pPr>
  </w:style>
  <w:style w:type="paragraph" w:customStyle="1" w:styleId="CenteredU">
    <w:name w:val="Centered U"/>
    <w:basedOn w:val="Normal"/>
    <w:pPr>
      <w:jc w:val="center"/>
    </w:pPr>
    <w:rPr>
      <w:u w:val="single"/>
    </w:rPr>
  </w:style>
  <w:style w:type="paragraph" w:customStyle="1" w:styleId="CenteredB">
    <w:name w:val="Centered B"/>
    <w:basedOn w:val="Normal"/>
    <w:pPr>
      <w:jc w:val="center"/>
    </w:pPr>
    <w:rPr>
      <w:rFonts w:ascii="Times New Roman Bold" w:hAnsi="Times New Roman Bold"/>
      <w:b/>
    </w:rPr>
  </w:style>
  <w:style w:type="paragraph" w:customStyle="1" w:styleId="CenteredBU">
    <w:name w:val="Centered BU"/>
    <w:basedOn w:val="Normal"/>
    <w:pPr>
      <w:jc w:val="center"/>
    </w:pPr>
    <w:rPr>
      <w:b/>
      <w:u w:val="single"/>
    </w:rPr>
  </w:style>
  <w:style w:type="paragraph" w:customStyle="1" w:styleId="BodyTextIndentInch">
    <w:name w:val="Body Text Indent Inch"/>
    <w:basedOn w:val="Normal"/>
    <w:pPr>
      <w:spacing w:line="480" w:lineRule="auto"/>
      <w:ind w:left="1440"/>
    </w:pPr>
  </w:style>
  <w:style w:type="paragraph" w:customStyle="1" w:styleId="BodyTextIndentInchSgl">
    <w:name w:val="Body Text Indent Inch Sgl"/>
    <w:basedOn w:val="Normal"/>
    <w:pPr>
      <w:ind w:left="1440"/>
    </w:pPr>
  </w:style>
  <w:style w:type="paragraph" w:customStyle="1" w:styleId="BodyTextIndentInchJ">
    <w:name w:val="Body Text Indent Inch J"/>
    <w:basedOn w:val="Normal"/>
    <w:pPr>
      <w:spacing w:line="480" w:lineRule="auto"/>
      <w:ind w:left="1440"/>
    </w:pPr>
  </w:style>
  <w:style w:type="paragraph" w:customStyle="1" w:styleId="BodyTextIndentInchSglJ">
    <w:name w:val="Body Text Indent Inch Sgl J"/>
    <w:basedOn w:val="Normal"/>
    <w:pPr>
      <w:ind w:left="1440"/>
    </w:pPr>
  </w:style>
  <w:style w:type="paragraph" w:customStyle="1" w:styleId="BodyText2SglJ">
    <w:name w:val="Body Text 2 Sgl J"/>
    <w:basedOn w:val="BodyText2Sgl"/>
  </w:style>
  <w:style w:type="paragraph" w:customStyle="1" w:styleId="BlockText5J">
    <w:name w:val="Block Text .5 J"/>
    <w:basedOn w:val="BlockText5"/>
  </w:style>
  <w:style w:type="paragraph" w:customStyle="1" w:styleId="BlockText5Sgl">
    <w:name w:val="Block Text .5 Sgl"/>
    <w:basedOn w:val="Normal"/>
    <w:pPr>
      <w:ind w:left="720" w:right="720"/>
    </w:pPr>
  </w:style>
  <w:style w:type="paragraph" w:customStyle="1" w:styleId="BlockText5SglJ">
    <w:name w:val="Block Text .5 Sgl J"/>
    <w:basedOn w:val="Normal"/>
    <w:pPr>
      <w:ind w:left="720" w:right="720"/>
    </w:pPr>
  </w:style>
  <w:style w:type="paragraph" w:customStyle="1" w:styleId="BlockText1J">
    <w:name w:val="Block Text 1 J"/>
    <w:basedOn w:val="Normal"/>
    <w:pPr>
      <w:spacing w:line="480" w:lineRule="auto"/>
      <w:ind w:left="1440" w:right="1440"/>
    </w:pPr>
  </w:style>
  <w:style w:type="paragraph" w:customStyle="1" w:styleId="BlockText1SglJ">
    <w:name w:val="Block Text 1 Sgl J"/>
    <w:basedOn w:val="Normal"/>
    <w:pPr>
      <w:ind w:left="1440" w:right="1440"/>
    </w:pPr>
  </w:style>
  <w:style w:type="paragraph" w:customStyle="1" w:styleId="BodyTextSglJ">
    <w:name w:val="Body Text Sgl J"/>
    <w:basedOn w:val="Normal"/>
    <w:pPr>
      <w:ind w:firstLine="1440"/>
    </w:pPr>
  </w:style>
  <w:style w:type="paragraph" w:customStyle="1" w:styleId="BodyTextIndentSgl">
    <w:name w:val="Body Text Indent Sgl"/>
    <w:basedOn w:val="Normal"/>
    <w:pPr>
      <w:ind w:left="720"/>
    </w:pPr>
  </w:style>
  <w:style w:type="paragraph" w:customStyle="1" w:styleId="BodyTextIndentJ">
    <w:name w:val="Body Text Indent J"/>
    <w:basedOn w:val="Normal"/>
    <w:pPr>
      <w:spacing w:line="480" w:lineRule="auto"/>
      <w:ind w:left="720"/>
    </w:pPr>
  </w:style>
  <w:style w:type="paragraph" w:customStyle="1" w:styleId="BodyTextIndentSglJ">
    <w:name w:val="Body Text Indent Sgl J"/>
    <w:basedOn w:val="Normal"/>
    <w:pPr>
      <w:ind w:left="720"/>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4"/>
      </w:numPr>
    </w:pPr>
  </w:style>
  <w:style w:type="paragraph" w:styleId="ListBullet4">
    <w:name w:val="List Bullet 4"/>
    <w:basedOn w:val="Normal"/>
    <w:autoRedefine/>
    <w:pPr>
      <w:numPr>
        <w:numId w:val="16"/>
      </w:numPr>
    </w:pPr>
  </w:style>
  <w:style w:type="paragraph" w:styleId="ListBullet5">
    <w:name w:val="List Bullet 5"/>
    <w:basedOn w:val="Normal"/>
    <w:autoRedefine/>
    <w:pPr>
      <w:numPr>
        <w:numId w:val="18"/>
      </w:numPr>
    </w:pPr>
  </w:style>
  <w:style w:type="paragraph" w:customStyle="1" w:styleId="STBBullet1">
    <w:name w:val="STB Bullet 1"/>
    <w:basedOn w:val="Normal"/>
    <w:pPr>
      <w:numPr>
        <w:numId w:val="19"/>
      </w:numPr>
    </w:pPr>
  </w:style>
  <w:style w:type="paragraph" w:customStyle="1" w:styleId="STBBullet1DBL">
    <w:name w:val="STB Bullet 1 DBL"/>
    <w:basedOn w:val="Normal"/>
    <w:pPr>
      <w:numPr>
        <w:numId w:val="20"/>
      </w:numPr>
      <w:spacing w:line="480" w:lineRule="auto"/>
    </w:pPr>
  </w:style>
  <w:style w:type="paragraph" w:customStyle="1" w:styleId="STBBullet2">
    <w:name w:val="STB Bullet 2"/>
    <w:basedOn w:val="Normal"/>
    <w:pPr>
      <w:numPr>
        <w:numId w:val="21"/>
      </w:numPr>
    </w:pPr>
  </w:style>
  <w:style w:type="paragraph" w:customStyle="1" w:styleId="STBBullet2DBL">
    <w:name w:val="STB Bullet 2 DBL"/>
    <w:basedOn w:val="Normal"/>
    <w:pPr>
      <w:numPr>
        <w:numId w:val="22"/>
      </w:numPr>
      <w:spacing w:line="480" w:lineRule="auto"/>
    </w:pPr>
  </w:style>
  <w:style w:type="paragraph" w:customStyle="1" w:styleId="STBBullet3">
    <w:name w:val="STB Bullet 3"/>
    <w:basedOn w:val="Normal"/>
    <w:pPr>
      <w:numPr>
        <w:numId w:val="23"/>
      </w:numPr>
    </w:pPr>
  </w:style>
  <w:style w:type="paragraph" w:customStyle="1" w:styleId="STBBullet3DBL">
    <w:name w:val="STB Bullet 3 DBL"/>
    <w:basedOn w:val="Normal"/>
    <w:pPr>
      <w:numPr>
        <w:numId w:val="24"/>
      </w:numPr>
      <w:spacing w:line="480" w:lineRule="auto"/>
    </w:pPr>
  </w:style>
  <w:style w:type="paragraph" w:customStyle="1" w:styleId="STBBullet4">
    <w:name w:val="STB Bullet 4"/>
    <w:basedOn w:val="Normal"/>
    <w:pPr>
      <w:numPr>
        <w:numId w:val="25"/>
      </w:numPr>
    </w:pPr>
  </w:style>
  <w:style w:type="paragraph" w:customStyle="1" w:styleId="STBBullet4DBL">
    <w:name w:val="STB Bullet 4 DBL"/>
    <w:basedOn w:val="Normal"/>
    <w:pPr>
      <w:numPr>
        <w:numId w:val="26"/>
      </w:numPr>
      <w:spacing w:line="480" w:lineRule="auto"/>
    </w:pPr>
  </w:style>
  <w:style w:type="paragraph" w:customStyle="1" w:styleId="STBListNumber1">
    <w:name w:val="STB List Number 1"/>
    <w:basedOn w:val="Normal"/>
    <w:pPr>
      <w:numPr>
        <w:numId w:val="27"/>
      </w:numPr>
      <w:tabs>
        <w:tab w:val="clear" w:pos="1080"/>
      </w:tabs>
    </w:pPr>
  </w:style>
  <w:style w:type="paragraph" w:customStyle="1" w:styleId="STBListNumber1DBL">
    <w:name w:val="STB List Number 1 DBL"/>
    <w:basedOn w:val="Normal"/>
    <w:pPr>
      <w:numPr>
        <w:numId w:val="28"/>
      </w:numPr>
      <w:tabs>
        <w:tab w:val="clear" w:pos="1080"/>
      </w:tabs>
      <w:spacing w:line="480" w:lineRule="auto"/>
    </w:pPr>
  </w:style>
  <w:style w:type="paragraph" w:customStyle="1" w:styleId="STBListNumber2">
    <w:name w:val="STB List Number 2"/>
    <w:basedOn w:val="Normal"/>
    <w:pPr>
      <w:numPr>
        <w:numId w:val="29"/>
      </w:numPr>
      <w:tabs>
        <w:tab w:val="clear" w:pos="1800"/>
      </w:tabs>
    </w:pPr>
  </w:style>
  <w:style w:type="paragraph" w:customStyle="1" w:styleId="STBListNumber2DBL">
    <w:name w:val="STB List Number 2 DBL"/>
    <w:basedOn w:val="Normal"/>
    <w:pPr>
      <w:numPr>
        <w:numId w:val="30"/>
      </w:numPr>
      <w:tabs>
        <w:tab w:val="clear" w:pos="1800"/>
      </w:tabs>
      <w:spacing w:line="480" w:lineRule="auto"/>
    </w:pPr>
  </w:style>
  <w:style w:type="paragraph" w:customStyle="1" w:styleId="STBListNumber3">
    <w:name w:val="STB List Number 3"/>
    <w:basedOn w:val="Normal"/>
    <w:pPr>
      <w:numPr>
        <w:numId w:val="31"/>
      </w:numPr>
      <w:tabs>
        <w:tab w:val="clear" w:pos="2520"/>
      </w:tabs>
    </w:pPr>
  </w:style>
  <w:style w:type="paragraph" w:customStyle="1" w:styleId="STBListNumber3DBL">
    <w:name w:val="STB List Number 3 DBL"/>
    <w:basedOn w:val="Normal"/>
    <w:pPr>
      <w:numPr>
        <w:numId w:val="32"/>
      </w:numPr>
      <w:tabs>
        <w:tab w:val="clear" w:pos="2520"/>
      </w:tabs>
      <w:spacing w:line="480" w:lineRule="auto"/>
    </w:pPr>
  </w:style>
  <w:style w:type="paragraph" w:customStyle="1" w:styleId="STBListNumber4">
    <w:name w:val="STB List Number 4"/>
    <w:basedOn w:val="Normal"/>
    <w:pPr>
      <w:numPr>
        <w:numId w:val="33"/>
      </w:numPr>
      <w:tabs>
        <w:tab w:val="clear" w:pos="3240"/>
      </w:tabs>
    </w:pPr>
  </w:style>
  <w:style w:type="paragraph" w:customStyle="1" w:styleId="STBListNumber4DBL">
    <w:name w:val="STB List Number 4 DBL"/>
    <w:basedOn w:val="Normal"/>
    <w:pPr>
      <w:numPr>
        <w:numId w:val="34"/>
      </w:numPr>
      <w:tabs>
        <w:tab w:val="clear" w:pos="3240"/>
      </w:tabs>
      <w:spacing w:line="480" w:lineRule="auto"/>
    </w:pPr>
  </w:style>
  <w:style w:type="paragraph" w:customStyle="1" w:styleId="alignright">
    <w:name w:val="alignright"/>
    <w:basedOn w:val="BodyText"/>
    <w:pPr>
      <w:jc w:val="right"/>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TitleChar">
    <w:name w:val="Title Char"/>
    <w:aliases w:val="t Char"/>
    <w:basedOn w:val="DefaultParagraphFont"/>
    <w:link w:val="Title"/>
    <w:uiPriority w:val="99"/>
    <w:locked/>
    <w:rPr>
      <w:rFonts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857444f2869d1141b3ed35687a3f8be3">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dd714c768416bdbb655867c97ba6d80f"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656B1-F801-4E79-8AFC-6586128023B8}">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customXml/itemProps2.xml><?xml version="1.0" encoding="utf-8"?>
<ds:datastoreItem xmlns:ds="http://schemas.openxmlformats.org/officeDocument/2006/customXml" ds:itemID="{A799AE79-581D-4C8C-80A1-6994E2D9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2EF46-6728-43AA-939E-CD19CD1DE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5152</Characters>
  <Application>Microsoft Office Word</Application>
  <DocSecurity>0</DocSecurity>
  <Lines>95</Lines>
  <Paragraphs>61</Paragraphs>
  <ScaleCrop>false</ScaleCrop>
  <Company/>
  <LinksUpToDate>false</LinksUpToDate>
  <CharactersWithSpaces>6009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2026-01-29T00:20:00Z</dcterms:created>
  <dcterms:modified xsi:type="dcterms:W3CDTF">2026-01-29T00:22:00Z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0x010100B4861A3B79158C4299C3135AE60381A9</vt:lpwstr>
  </property>
  <property fmtid="{D5CDD505-2E9C-101B-9397-08002B2CF9AE}" pid="3" name="Order">
    <vt:r8>13683200</vt:r8>
  </property>
  <property fmtid="{D5CDD505-2E9C-101B-9397-08002B2CF9AE}" pid="4" name="_ExtendedDescription">
    <vt:lpwstr/>
  </property>
  <property fmtid="{D5CDD505-2E9C-101B-9397-08002B2CF9AE}" pid="5" name="MediaServiceImageTags">
    <vt:lpwstr/>
  </property>
</Properties>
</file>